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-13970</wp:posOffset>
                </wp:positionH>
                <wp:positionV relativeFrom="paragraph">
                  <wp:posOffset>146685</wp:posOffset>
                </wp:positionV>
                <wp:extent cx="1647190" cy="410845"/>
                <wp:effectExtent l="0" t="0" r="0" b="0"/>
                <wp:wrapNone/>
                <wp:docPr id="1" name="Kép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640" cy="41004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rPr>
                                <w:rFonts w:ascii="Pristina" w:hAnsi="Pristina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Pristina" w:hAnsi="Pristina"/>
                                <w:color w:val="FFFFFF" w:themeColor="background1"/>
                                <w:sz w:val="28"/>
                              </w:rPr>
                            </w:r>
                          </w:p>
                          <w:p>
                            <w:pPr>
                              <w:pStyle w:val="Kerettartalom"/>
                              <w:spacing w:before="0" w:after="200"/>
                              <w:rPr>
                                <w:rFonts w:ascii="Pristina" w:hAnsi="Pristina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ép4" path="m0,0l-2147483645,0l-2147483645,-2147483646l0,-2147483646xe" fillcolor="white" stroked="t" o:allowincell="f" style="position:absolute;margin-left:-1.1pt;margin-top:11.55pt;width:129.6pt;height:32.25pt;mso-wrap-style:square;v-text-anchor:top">
                <v:fill o:detectmouseclick="t" type="solid" color2="black" opacity="0"/>
                <v:stroke color="black" weight="720" joinstyle="round" endcap="flat"/>
                <v:textbox>
                  <w:txbxContent>
                    <w:p>
                      <w:pPr>
                        <w:pStyle w:val="Kerettartalom"/>
                        <w:rPr>
                          <w:rFonts w:ascii="Pristina" w:hAnsi="Pristina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Pristina" w:hAnsi="Pristina"/>
                          <w:color w:val="FFFFFF" w:themeColor="background1"/>
                          <w:sz w:val="28"/>
                        </w:rPr>
                      </w:r>
                    </w:p>
                    <w:p>
                      <w:pPr>
                        <w:pStyle w:val="Kerettartalom"/>
                        <w:spacing w:before="0" w:after="200"/>
                        <w:rPr>
                          <w:rFonts w:ascii="Pristina" w:hAnsi="Pristina"/>
                          <w:color w:val="FFFFFF" w:themeColor="background1"/>
                          <w:sz w:val="2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7595870" cy="1905635"/>
            <wp:effectExtent l="0" t="0" r="0" b="0"/>
            <wp:wrapSquare wrapText="bothSides"/>
            <wp:docPr id="3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7530" r="0" b="13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7691755" cy="1120775"/>
            <wp:effectExtent l="0" t="0" r="0" b="0"/>
            <wp:wrapSquare wrapText="bothSides"/>
            <wp:docPr id="4" name="Kép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11342" r="0" b="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175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252730</wp:posOffset>
            </wp:positionH>
            <wp:positionV relativeFrom="paragraph">
              <wp:posOffset>146685</wp:posOffset>
            </wp:positionV>
            <wp:extent cx="890905" cy="468630"/>
            <wp:effectExtent l="0" t="0" r="0" b="0"/>
            <wp:wrapSquare wrapText="bothSides"/>
            <wp:docPr id="5" name="Kép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tabs>
          <w:tab w:val="clear" w:pos="708"/>
          <w:tab w:val="left" w:pos="1701" w:leader="none"/>
        </w:tabs>
        <w:spacing w:beforeAutospacing="0" w:before="0" w:afterAutospacing="0" w:after="120"/>
        <w:ind w:left="567" w:right="28" w:hanging="0"/>
        <w:rPr>
          <w:sz w:val="22"/>
        </w:rPr>
      </w:pPr>
      <w:r>
        <w:rPr>
          <w:sz w:val="22"/>
        </w:rPr>
        <w:t>Menüs ételeink a’la carte minősítésűek, 2026.0</w:t>
      </w:r>
      <w:r>
        <w:rPr>
          <w:sz w:val="22"/>
        </w:rPr>
        <w:t>4.28-04.29.</w:t>
      </w:r>
      <w:r>
        <w:rPr>
          <w:sz w:val="22"/>
        </w:rPr>
        <w:t xml:space="preserve">    10:30-14:00-ig. </w:t>
      </w:r>
    </w:p>
    <w:p>
      <w:pPr>
        <w:pStyle w:val="NormalWeb"/>
        <w:tabs>
          <w:tab w:val="clear" w:pos="708"/>
          <w:tab w:val="left" w:pos="1701" w:leader="none"/>
        </w:tabs>
        <w:spacing w:beforeAutospacing="0" w:before="0" w:afterAutospacing="0" w:after="120"/>
        <w:ind w:left="567" w:right="28" w:hanging="0"/>
        <w:rPr>
          <w:sz w:val="22"/>
        </w:rPr>
      </w:pPr>
      <w:r>
        <w:rPr>
          <w:sz w:val="22"/>
        </w:rPr>
      </w:r>
    </w:p>
    <w:tbl>
      <w:tblPr>
        <w:tblStyle w:val="Rcsostblzat"/>
        <w:tblW w:w="5000" w:type="pct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7"/>
        <w:gridCol w:w="1371"/>
        <w:gridCol w:w="2363"/>
        <w:gridCol w:w="2365"/>
        <w:gridCol w:w="2504"/>
        <w:gridCol w:w="2299"/>
      </w:tblGrid>
      <w:tr>
        <w:trPr/>
        <w:tc>
          <w:tcPr>
            <w:tcW w:w="43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ind w:left="-283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center"/>
              <w:rPr>
                <w:sz w:val="28"/>
                <w:szCs w:val="20"/>
              </w:rPr>
            </w:pPr>
            <w:r>
              <w:rPr>
                <w:rFonts w:ascii="Pristina" w:hAnsi="Pristina"/>
                <w:kern w:val="0"/>
                <w:sz w:val="28"/>
                <w:szCs w:val="20"/>
                <w:lang w:val="hu-HU" w:bidi="ar-SA"/>
              </w:rPr>
              <w:t>Hétf</w:t>
            </w:r>
            <w:r>
              <w:rPr>
                <w:kern w:val="0"/>
                <w:sz w:val="28"/>
                <w:szCs w:val="20"/>
                <w:lang w:val="hu-HU" w:bidi="ar-SA"/>
              </w:rPr>
              <w:t>ő</w:t>
            </w:r>
          </w:p>
        </w:tc>
        <w:tc>
          <w:tcPr>
            <w:tcW w:w="2363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center"/>
              <w:rPr>
                <w:sz w:val="28"/>
                <w:szCs w:val="20"/>
              </w:rPr>
            </w:pPr>
            <w:r>
              <w:rPr>
                <w:rFonts w:ascii="Pristina" w:hAnsi="Pristina"/>
                <w:kern w:val="0"/>
                <w:sz w:val="28"/>
                <w:szCs w:val="20"/>
                <w:lang w:val="hu-HU" w:bidi="ar-SA"/>
              </w:rPr>
              <w:t>Kedd</w:t>
            </w:r>
          </w:p>
        </w:tc>
        <w:tc>
          <w:tcPr>
            <w:tcW w:w="2365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center"/>
              <w:rPr>
                <w:sz w:val="28"/>
                <w:szCs w:val="20"/>
              </w:rPr>
            </w:pPr>
            <w:r>
              <w:rPr>
                <w:rFonts w:ascii="Pristina" w:hAnsi="Pristina"/>
                <w:kern w:val="0"/>
                <w:sz w:val="28"/>
                <w:szCs w:val="20"/>
                <w:lang w:val="hu-HU" w:bidi="ar-SA"/>
              </w:rPr>
              <w:t>Szerda</w:t>
            </w:r>
          </w:p>
        </w:tc>
        <w:tc>
          <w:tcPr>
            <w:tcW w:w="2504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center"/>
              <w:rPr>
                <w:sz w:val="28"/>
                <w:szCs w:val="20"/>
              </w:rPr>
            </w:pPr>
            <w:r>
              <w:rPr>
                <w:rFonts w:ascii="Pristina" w:hAnsi="Pristina"/>
                <w:kern w:val="0"/>
                <w:sz w:val="28"/>
                <w:szCs w:val="20"/>
                <w:lang w:val="hu-HU" w:bidi="ar-SA"/>
              </w:rPr>
              <w:t>Csütörtök</w:t>
            </w:r>
          </w:p>
        </w:tc>
        <w:tc>
          <w:tcPr>
            <w:tcW w:w="2299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center"/>
              <w:rPr>
                <w:sz w:val="28"/>
                <w:szCs w:val="20"/>
              </w:rPr>
            </w:pPr>
            <w:r>
              <w:rPr>
                <w:rFonts w:ascii="Pristina" w:hAnsi="Pristina"/>
                <w:kern w:val="0"/>
                <w:sz w:val="28"/>
                <w:szCs w:val="20"/>
                <w:lang w:val="hu-HU" w:bidi="ar-SA"/>
              </w:rPr>
              <w:t>Péntek</w:t>
            </w:r>
          </w:p>
        </w:tc>
      </w:tr>
      <w:tr>
        <w:trPr>
          <w:trHeight w:val="920" w:hRule="atLeast"/>
        </w:trPr>
        <w:tc>
          <w:tcPr>
            <w:tcW w:w="43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a</w:t>
            </w:r>
          </w:p>
        </w:tc>
        <w:tc>
          <w:tcPr>
            <w:tcW w:w="137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3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hu-HU" w:eastAsia="hu-HU" w:bidi="ar-SA"/>
              </w:rPr>
              <w:t>K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hu-HU" w:eastAsia="hu-HU" w:bidi="ar-SA"/>
              </w:rPr>
              <w:t xml:space="preserve">apros zöldbableves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hu-HU" w:eastAsia="hu-H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hu-HU" w:bidi="ar-SA"/>
              </w:rPr>
              <w:t xml:space="preserve"> 1200,-</w:t>
            </w:r>
          </w:p>
        </w:tc>
        <w:tc>
          <w:tcPr>
            <w:tcW w:w="2365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hu-HU" w:eastAsia="hu-H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hu-HU" w:eastAsia="hu-HU" w:bidi="ar-SA"/>
              </w:rPr>
              <w:t xml:space="preserve">Habart bableves füstölt csülökkel 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1200.- Ft</w:t>
            </w:r>
          </w:p>
        </w:tc>
        <w:tc>
          <w:tcPr>
            <w:tcW w:w="2504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43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b</w:t>
            </w:r>
          </w:p>
        </w:tc>
        <w:tc>
          <w:tcPr>
            <w:tcW w:w="137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3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hu-HU" w:eastAsia="hu-HU" w:bidi="ar-SA"/>
              </w:rPr>
              <w:t xml:space="preserve">Grízgombócleves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hu-HU" w:eastAsia="hu-HU" w:bidi="ar-SA"/>
              </w:rPr>
              <w:t>12</w:t>
            </w:r>
            <w:r>
              <w:rPr>
                <w:kern w:val="0"/>
                <w:sz w:val="20"/>
                <w:szCs w:val="20"/>
                <w:lang w:val="hu-HU" w:bidi="ar-SA"/>
              </w:rPr>
              <w:t>00,-</w:t>
            </w:r>
          </w:p>
        </w:tc>
        <w:tc>
          <w:tcPr>
            <w:tcW w:w="2365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hu-HU" w:eastAsia="hu-HU" w:bidi="ar-SA"/>
              </w:rPr>
              <w:t xml:space="preserve">Brokkoli krémleves </w:t>
            </w:r>
            <w:r>
              <w:rPr>
                <w:kern w:val="0"/>
                <w:sz w:val="20"/>
                <w:szCs w:val="20"/>
                <w:lang w:val="hu-HU" w:bidi="ar-SA"/>
              </w:rPr>
              <w:t>1200.- Ft</w:t>
            </w:r>
          </w:p>
        </w:tc>
        <w:tc>
          <w:tcPr>
            <w:tcW w:w="2504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3" w:hRule="atLeast"/>
        </w:trPr>
        <w:tc>
          <w:tcPr>
            <w:tcW w:w="43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c</w:t>
            </w:r>
          </w:p>
        </w:tc>
        <w:tc>
          <w:tcPr>
            <w:tcW w:w="10902" w:type="dxa"/>
            <w:gridSpan w:val="5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Húsleves csigatészta 1200,-</w:t>
            </w:r>
          </w:p>
        </w:tc>
      </w:tr>
      <w:tr>
        <w:trPr>
          <w:trHeight w:val="228" w:hRule="atLeast"/>
        </w:trPr>
        <w:tc>
          <w:tcPr>
            <w:tcW w:w="437" w:type="dxa"/>
            <w:tcBorders>
              <w:left w:val="nil"/>
              <w:right w:val="nil"/>
            </w:tcBorders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3" w:type="dxa"/>
            <w:tcBorders>
              <w:left w:val="nil"/>
              <w:right w:val="nil"/>
            </w:tcBorders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5" w:type="dxa"/>
            <w:tcBorders>
              <w:left w:val="nil"/>
              <w:right w:val="nil"/>
            </w:tcBorders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04" w:type="dxa"/>
            <w:tcBorders>
              <w:left w:val="nil"/>
              <w:right w:val="nil"/>
            </w:tcBorders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>
              <w:left w:val="nil"/>
              <w:right w:val="nil"/>
            </w:tcBorders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43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a</w:t>
            </w:r>
          </w:p>
        </w:tc>
        <w:tc>
          <w:tcPr>
            <w:tcW w:w="137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3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hu-HU" w:eastAsia="hu-H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hu-HU" w:eastAsia="hu-HU" w:bidi="ar-SA"/>
              </w:rPr>
              <w:t xml:space="preserve">Csikóstokány galuska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hu-HU" w:eastAsia="hu-HU" w:bidi="ar-SA"/>
              </w:rPr>
              <w:t xml:space="preserve">  2500.-Ft</w:t>
            </w:r>
          </w:p>
        </w:tc>
        <w:tc>
          <w:tcPr>
            <w:tcW w:w="2365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hu-HU" w:eastAsia="hu-HU" w:bidi="ar-SA"/>
              </w:rPr>
              <w:t xml:space="preserve">Milánói sertésszelet </w:t>
            </w:r>
            <w:r>
              <w:rPr>
                <w:kern w:val="0"/>
                <w:sz w:val="20"/>
                <w:szCs w:val="20"/>
                <w:lang w:val="hu-HU" w:bidi="ar-SA"/>
              </w:rPr>
              <w:t>2500.- Ft</w:t>
            </w:r>
          </w:p>
        </w:tc>
        <w:tc>
          <w:tcPr>
            <w:tcW w:w="2504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43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b</w:t>
            </w:r>
          </w:p>
        </w:tc>
        <w:tc>
          <w:tcPr>
            <w:tcW w:w="137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3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hu-HU" w:eastAsia="hu-HU" w:bidi="ar-SA"/>
              </w:rPr>
              <w:t>Kentuky csirkemell, rizs, zöldköret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hu-HU" w:eastAsia="hu-H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hu-HU" w:bidi="ar-SA"/>
              </w:rPr>
              <w:t>2500 Ft</w:t>
            </w:r>
          </w:p>
        </w:tc>
        <w:tc>
          <w:tcPr>
            <w:tcW w:w="2365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hu-HU" w:eastAsia="hu-HU" w:bidi="ar-SA"/>
              </w:rPr>
              <w:t xml:space="preserve">Pankómorzsában sült csirkemell, rizs, csónakburgonya </w:t>
            </w:r>
            <w:r>
              <w:rPr>
                <w:kern w:val="0"/>
                <w:sz w:val="20"/>
                <w:szCs w:val="20"/>
                <w:lang w:val="hu-HU" w:bidi="ar-SA"/>
              </w:rPr>
              <w:t xml:space="preserve"> 2500.- Ft</w:t>
            </w:r>
          </w:p>
        </w:tc>
        <w:tc>
          <w:tcPr>
            <w:tcW w:w="2504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43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c</w:t>
            </w:r>
          </w:p>
        </w:tc>
        <w:tc>
          <w:tcPr>
            <w:tcW w:w="137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3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hu-HU" w:eastAsia="hu-HU" w:bidi="ar-SA"/>
              </w:rPr>
              <w:t>Zöldborsó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hu-HU" w:eastAsia="hu-H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hu-HU" w:bidi="ar-SA"/>
              </w:rPr>
              <w:t>főzelék sertéspörkölt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2500 Ft</w:t>
            </w:r>
          </w:p>
        </w:tc>
        <w:tc>
          <w:tcPr>
            <w:tcW w:w="2365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hu-HU" w:eastAsia="hu-HU" w:bidi="ar-SA"/>
              </w:rPr>
              <w:t>Főtt hús meggyszósz vagy sóskamártás  főtt burgonya</w:t>
            </w:r>
            <w:r>
              <w:rPr>
                <w:kern w:val="0"/>
                <w:sz w:val="20"/>
                <w:szCs w:val="20"/>
                <w:lang w:val="hu-HU" w:bidi="ar-SA"/>
              </w:rPr>
              <w:t xml:space="preserve"> 2500.- Ft</w:t>
            </w:r>
          </w:p>
        </w:tc>
        <w:tc>
          <w:tcPr>
            <w:tcW w:w="2504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43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d</w:t>
            </w:r>
          </w:p>
        </w:tc>
        <w:tc>
          <w:tcPr>
            <w:tcW w:w="137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3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5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04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43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3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5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04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5" w:hRule="atLeast"/>
        </w:trPr>
        <w:tc>
          <w:tcPr>
            <w:tcW w:w="43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e</w:t>
            </w:r>
          </w:p>
        </w:tc>
        <w:tc>
          <w:tcPr>
            <w:tcW w:w="10902" w:type="dxa"/>
            <w:gridSpan w:val="5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Autospacing="0" w:before="60" w:afterAutospacing="0" w:after="6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hu-HU" w:bidi="ar-SA"/>
              </w:rPr>
              <w:t>Rántott sertésszelet vagy csirkemell vegyes köret savanyúság 2500 Ft itt fogyasztás</w:t>
            </w:r>
          </w:p>
        </w:tc>
      </w:tr>
    </w:tbl>
    <w:p>
      <w:pPr>
        <w:pStyle w:val="NormalWeb"/>
        <w:tabs>
          <w:tab w:val="clear" w:pos="708"/>
          <w:tab w:val="left" w:pos="1701" w:leader="none"/>
        </w:tabs>
        <w:spacing w:beforeAutospacing="0" w:before="0" w:afterAutospacing="0" w:after="60"/>
        <w:rPr>
          <w:sz w:val="20"/>
        </w:rPr>
      </w:pPr>
      <w:r>
        <w:rPr>
          <w:sz w:val="20"/>
        </w:rPr>
      </w:r>
    </w:p>
    <w:p>
      <w:pPr>
        <w:pStyle w:val="NormalWeb"/>
        <w:spacing w:beforeAutospacing="0" w:before="0" w:afterAutospacing="0" w:after="120"/>
        <w:ind w:left="567" w:hanging="0"/>
        <w:rPr>
          <w:b/>
          <w:b/>
          <w:bCs/>
        </w:rPr>
      </w:pPr>
      <w:r>
        <w:rPr>
          <w:b/>
          <w:bCs/>
        </w:rPr>
        <w:t xml:space="preserve">Menü ára: 3700 Ft, </w:t>
      </w:r>
    </w:p>
    <w:p>
      <w:pPr>
        <w:pStyle w:val="NormalWeb"/>
        <w:spacing w:beforeAutospacing="0" w:before="0" w:afterAutospacing="0" w:after="120"/>
        <w:ind w:left="567" w:hanging="0"/>
        <w:rPr>
          <w:b/>
          <w:b/>
          <w:bCs/>
        </w:rPr>
      </w:pPr>
      <w:r>
        <w:rPr>
          <w:b/>
          <w:bCs/>
        </w:rPr>
        <w:t xml:space="preserve">Ételrendelés: 42/450-414     06/42  451- 360 </w:t>
      </w:r>
    </w:p>
    <w:p>
      <w:pPr>
        <w:pStyle w:val="NormalWeb"/>
        <w:spacing w:beforeAutospacing="0" w:before="0" w:afterAutospacing="0" w:after="120"/>
        <w:ind w:left="567" w:hanging="0"/>
        <w:jc w:val="center"/>
        <w:rPr/>
      </w:pPr>
      <w:r>
        <w:rPr/>
        <w:t>A változtatás jogát fenntartjuk! Jó étvágyat kívánnak a Kemence Csárda dolgozói!</w:t>
      </w:r>
    </w:p>
    <w:p>
      <w:pPr>
        <w:pStyle w:val="NormalWeb"/>
        <w:spacing w:before="280" w:afterAutospacing="0" w:after="120"/>
        <w:ind w:left="567" w:hanging="0"/>
        <w:rPr>
          <w:sz w:val="32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-43815</wp:posOffset>
            </wp:positionH>
            <wp:positionV relativeFrom="margin">
              <wp:posOffset>9784715</wp:posOffset>
            </wp:positionV>
            <wp:extent cx="7642860" cy="525145"/>
            <wp:effectExtent l="0" t="0" r="0" b="0"/>
            <wp:wrapSquare wrapText="bothSides"/>
            <wp:docPr id="6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69331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Kedves vendégeink, ételeink allergén tartalmáról felvilágosítást kérhet az üzletvezetőtől vagy a felszolgálótól!</w:t>
      </w:r>
    </w:p>
    <w:sectPr>
      <w:type w:val="nextPage"/>
      <w:pgSz w:w="11906" w:h="16838"/>
      <w:pgMar w:left="0" w:right="566" w:gutter="0" w:header="0" w:top="0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Pristi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gutterAtTop/>
  <w:defaultTabStop w:val="708"/>
  <w:autoHyphenation w:val="true"/>
  <w:compat>
    <w:compatSetting w:name="compatibilityMode" w:uri="http://schemas.microsoft.com/office/word" w:val="12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3cc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7615ca"/>
    <w:rPr>
      <w:rFonts w:ascii="Tahoma" w:hAnsi="Tahoma" w:cs="Tahoma"/>
      <w:sz w:val="16"/>
      <w:szCs w:val="16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7615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809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d9584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9578-D118-4D5F-93CF-3EF2DB92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LibreOffice/7.2.2.2$Windows_X86_64 LibreOffice_project/02b2acce88a210515b4a5bb2e46cbfb63fe97d56</Application>
  <AppVersion>15.0000</AppVersion>
  <Pages>1</Pages>
  <Words>115</Words>
  <Characters>767</Characters>
  <CharactersWithSpaces>868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2024-04-30T05:58:00Z</dcterms:created>
  <dc:creator>nyirfa</dc:creator>
  <dc:description/>
  <dc:language>hu-HU</dc:language>
  <cp:lastModifiedBy/>
  <dcterms:modified xsi:type="dcterms:W3CDTF">2026-04-28T09:59:59Z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